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48C66FF1">
      <w:pPr>
        <w:spacing w:line="360" w:lineRule="auto"/>
        <w:ind w:firstLine="480" w:firstLineChars="200"/>
        <w:outlineLvl w:val="0"/>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val="en-US" w:eastAsia="zh-CN"/>
        </w:rPr>
        <w:t>佛山梁园活化利用项目（灯光亮化提升）灯光采购安装-配电箱采购</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w:t>
      </w:r>
      <w:r>
        <w:rPr>
          <w:rFonts w:hint="eastAsia" w:ascii="宋体" w:hAnsi="宋体" w:cs="宋体"/>
          <w:bCs/>
          <w:sz w:val="24"/>
          <w:highlight w:val="none"/>
          <w:lang w:val="en-US" w:eastAsia="zh-CN"/>
        </w:rPr>
        <w:t>劳务</w:t>
      </w:r>
      <w:r>
        <w:rPr>
          <w:rFonts w:hint="eastAsia" w:ascii="宋体" w:hAnsi="宋体" w:cs="宋体"/>
          <w:bCs/>
          <w:sz w:val="24"/>
          <w:highlight w:val="none"/>
        </w:rPr>
        <w:t>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项目名称：</w:t>
      </w:r>
      <w:r>
        <w:rPr>
          <w:rFonts w:hint="eastAsia" w:ascii="宋体" w:hAnsi="宋体" w:cs="宋体"/>
          <w:b w:val="0"/>
          <w:bCs/>
          <w:sz w:val="24"/>
          <w:highlight w:val="none"/>
          <w:u w:val="single"/>
          <w:lang w:val="en-US" w:eastAsia="zh-CN"/>
        </w:rPr>
        <w:t>佛山梁园活化利用项目（灯光亮化提升）灯光采购安装-配电箱采购</w:t>
      </w:r>
      <w:r>
        <w:rPr>
          <w:rFonts w:hint="eastAsia" w:ascii="宋体" w:hAnsi="宋体" w:cs="宋体"/>
          <w:b w:val="0"/>
          <w:bCs/>
          <w:sz w:val="24"/>
          <w:highlight w:val="none"/>
          <w:lang w:val="en-US" w:eastAsia="zh-CN"/>
        </w:rPr>
        <w:t>，本项目位于佛山市禅城区梁园。</w:t>
      </w:r>
    </w:p>
    <w:p w14:paraId="6D0C4348">
      <w:pPr>
        <w:pStyle w:val="2"/>
        <w:rPr>
          <w:rFonts w:hint="eastAsia"/>
          <w:lang w:val="en-US" w:eastAsia="zh-CN"/>
        </w:rPr>
      </w:pPr>
    </w:p>
    <w:p w14:paraId="7CF0750C">
      <w:pPr>
        <w:numPr>
          <w:ilvl w:val="0"/>
          <w:numId w:val="1"/>
        </w:num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采购内容清单及采购预算</w:t>
      </w:r>
    </w:p>
    <w:p w14:paraId="20C5C11C">
      <w:pPr>
        <w:rPr>
          <w:rFonts w:hint="default"/>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采购清单：</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3116"/>
        <w:gridCol w:w="696"/>
        <w:gridCol w:w="696"/>
      </w:tblGrid>
      <w:tr w14:paraId="6A30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F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4A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B29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5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C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15DF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1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3D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61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ZAL1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0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2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7E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2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25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C44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ZAL2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4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6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C0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8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97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62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5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7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A1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C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70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1C6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C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2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10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9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0C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B0D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8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2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D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7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F9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D9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3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F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09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B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A0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B0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1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4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17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0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0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704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0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1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DC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0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C0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39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0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7B8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5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3A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3A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1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B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74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7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F3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0EA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B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9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4E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5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D9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3F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3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7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7E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6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D8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2A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6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9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8F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0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2C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C2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F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70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9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46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C5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7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1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3F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1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12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AD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4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6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8C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D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F6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37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5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E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75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5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02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5F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3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88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7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2B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98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7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1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00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A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14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9D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7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C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85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B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E3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7A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3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4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05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E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04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109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4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7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E26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5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3B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AC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7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3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4E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4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B0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18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9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9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AB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4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EE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76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7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3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E3C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5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53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C1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0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3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00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B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7D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08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C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4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B3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0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41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61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5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A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AA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9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89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248D4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8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F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33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A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2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CE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6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D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98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9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2A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D19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AL29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A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1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82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1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FE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1A1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1.名称:落地式配电箱 AL30~AL39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9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4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bl>
    <w:p w14:paraId="38B66578">
      <w:pPr>
        <w:rPr>
          <w:rFonts w:hint="eastAsia" w:ascii="宋体" w:hAnsi="宋体" w:eastAsia="宋体" w:cs="宋体"/>
          <w:bCs/>
          <w:color w:val="auto"/>
          <w:sz w:val="24"/>
          <w:szCs w:val="24"/>
          <w:highlight w:val="none"/>
          <w:lang w:eastAsia="zh-CN"/>
        </w:rPr>
      </w:pPr>
    </w:p>
    <w:p w14:paraId="7F014BEB">
      <w:pPr>
        <w:rPr>
          <w:rFonts w:hint="default"/>
          <w:lang w:val="en-US" w:eastAsia="zh-CN"/>
        </w:rPr>
      </w:pP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采购预算：</w:t>
      </w:r>
    </w:p>
    <w:p w14:paraId="5666B63B">
      <w:pPr>
        <w:pStyle w:val="2"/>
        <w:rPr>
          <w:rFonts w:hint="eastAsia" w:ascii="宋体" w:hAnsi="宋体" w:cs="宋体"/>
          <w:bCs/>
          <w:sz w:val="24"/>
          <w:highlight w:val="none"/>
        </w:rPr>
      </w:pPr>
      <w:r>
        <w:rPr>
          <w:rFonts w:hint="eastAsia" w:ascii="宋体" w:hAnsi="宋体" w:cs="宋体"/>
          <w:bCs/>
          <w:sz w:val="24"/>
          <w:highlight w:val="none"/>
          <w:lang w:val="en-US" w:eastAsia="zh-CN"/>
        </w:rPr>
        <w:t>本次采购预算金额总价</w:t>
      </w:r>
      <w:r>
        <w:rPr>
          <w:rFonts w:hint="eastAsia" w:ascii="宋体" w:hAnsi="宋体" w:cs="宋体"/>
          <w:b/>
          <w:bCs w:val="0"/>
          <w:sz w:val="24"/>
          <w:highlight w:val="none"/>
          <w:u w:val="single"/>
          <w:lang w:val="en-US" w:eastAsia="zh-CN"/>
        </w:rPr>
        <w:t>194250.00 元</w:t>
      </w:r>
      <w:r>
        <w:rPr>
          <w:rFonts w:hint="eastAsia" w:ascii="宋体" w:hAnsi="宋体" w:cs="宋体"/>
          <w:bCs/>
          <w:sz w:val="24"/>
          <w:highlight w:val="none"/>
          <w:lang w:val="en-US" w:eastAsia="zh-CN"/>
        </w:rPr>
        <w:t>。</w:t>
      </w:r>
    </w:p>
    <w:p w14:paraId="7F02D476">
      <w:pPr>
        <w:rPr>
          <w:rFonts w:hint="default"/>
          <w:lang w:val="en-US" w:eastAsia="zh-CN"/>
        </w:rPr>
      </w:pP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三、质量标准及技术要求</w:t>
      </w:r>
    </w:p>
    <w:p w14:paraId="0D71DC02">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质量标准：</w:t>
      </w:r>
      <w:r>
        <w:rPr>
          <w:rFonts w:hint="eastAsia" w:ascii="宋体" w:hAnsi="宋体" w:cs="宋体"/>
          <w:b w:val="0"/>
          <w:bCs/>
          <w:sz w:val="24"/>
          <w:highlight w:val="none"/>
          <w:lang w:val="en-US" w:eastAsia="zh-CN"/>
        </w:rPr>
        <w:t>所有产品均质保3年（含元器件及智能模块），产品质量符合国标要求以及图纸、设计技术规范要求</w:t>
      </w:r>
      <w:r>
        <w:rPr>
          <w:rFonts w:hint="eastAsia" w:ascii="宋体" w:hAnsi="宋体" w:cs="宋体"/>
          <w:b/>
          <w:bCs w:val="0"/>
          <w:sz w:val="24"/>
          <w:highlight w:val="none"/>
          <w:lang w:val="en-US" w:eastAsia="zh-CN"/>
        </w:rPr>
        <w:t>。</w:t>
      </w:r>
    </w:p>
    <w:p w14:paraId="0FD36BF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技术要求：</w:t>
      </w:r>
      <w:r>
        <w:rPr>
          <w:rFonts w:hint="eastAsia" w:ascii="宋体" w:hAnsi="宋体" w:eastAsia="宋体" w:cs="宋体"/>
          <w:b w:val="0"/>
          <w:bCs/>
          <w:kern w:val="2"/>
          <w:sz w:val="24"/>
          <w:szCs w:val="24"/>
          <w:highlight w:val="none"/>
          <w:lang w:val="en-US" w:eastAsia="zh-CN" w:bidi="ar-SA"/>
        </w:rPr>
        <w:t>（一）配电箱采用智能模块控制开关,可通过信号传输集中管理平合运营管理,具体部分图纸可由配电箱供应厂家技术人员进行二次深化。灯具亮灯时间满足夜游时间即可。</w:t>
      </w:r>
    </w:p>
    <w:p w14:paraId="33F81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highlight w:val="none"/>
          <w:lang w:val="en-US"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 w:val="0"/>
          <w:bCs/>
          <w:sz w:val="24"/>
          <w:highlight w:val="none"/>
          <w:lang w:val="en-US" w:eastAsia="zh-CN"/>
        </w:rPr>
        <w:t>配电箱落地安装。</w:t>
      </w:r>
    </w:p>
    <w:p w14:paraId="0F189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highlight w:val="none"/>
          <w:lang w:val="en-US"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 w:val="0"/>
          <w:bCs/>
          <w:sz w:val="24"/>
          <w:highlight w:val="none"/>
          <w:lang w:val="en-US" w:eastAsia="zh-CN"/>
        </w:rPr>
        <w:t>配电箱材质为2mm的不锈钢板。</w:t>
      </w:r>
    </w:p>
    <w:p w14:paraId="77A7B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w:t>
      </w:r>
      <w:r>
        <w:rPr>
          <w:rFonts w:hint="eastAsia" w:ascii="宋体" w:hAnsi="宋体" w:cs="宋体"/>
          <w:b w:val="0"/>
          <w:bCs/>
          <w:sz w:val="24"/>
          <w:highlight w:val="none"/>
          <w:lang w:val="en-US" w:eastAsia="zh-CN"/>
        </w:rPr>
        <w:t>内含智能模块和电表（RS485），可实现远程抄表。</w:t>
      </w:r>
    </w:p>
    <w:p w14:paraId="54CE2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w:t>
      </w:r>
      <w:r>
        <w:rPr>
          <w:rFonts w:hint="eastAsia" w:ascii="宋体" w:hAnsi="宋体" w:cs="宋体"/>
          <w:b w:val="0"/>
          <w:bCs/>
          <w:sz w:val="24"/>
          <w:highlight w:val="none"/>
          <w:lang w:val="en-US" w:eastAsia="zh-CN"/>
        </w:rPr>
        <w:t>元器件和智能模块采用知名品牌，必须满足国标要求以及图纸、设计技术规范要求，严格按照图纸和清单要求生产。</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四、货</w:t>
      </w:r>
      <w:r>
        <w:rPr>
          <w:rFonts w:hint="eastAsia" w:ascii="宋体" w:hAnsi="宋体" w:cs="宋体"/>
          <w:b/>
          <w:bCs w:val="0"/>
          <w:sz w:val="24"/>
          <w:highlight w:val="none"/>
        </w:rPr>
        <w:t>期要求</w:t>
      </w:r>
      <w:r>
        <w:rPr>
          <w:rFonts w:hint="eastAsia" w:ascii="宋体" w:hAnsi="宋体" w:cs="宋体"/>
          <w:b/>
          <w:bCs w:val="0"/>
          <w:sz w:val="24"/>
          <w:highlight w:val="none"/>
          <w:lang w:val="en-US" w:eastAsia="zh-CN"/>
        </w:rPr>
        <w:t>和</w:t>
      </w:r>
      <w:r>
        <w:rPr>
          <w:rFonts w:hint="eastAsia" w:ascii="宋体" w:hAnsi="宋体" w:eastAsia="宋体" w:cs="宋体"/>
          <w:b/>
          <w:bCs w:val="0"/>
          <w:sz w:val="24"/>
          <w:szCs w:val="24"/>
          <w:highlight w:val="none"/>
          <w:lang w:val="en-US" w:eastAsia="zh-CN"/>
        </w:rPr>
        <w:t>送货地点及联系人</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lang w:val="en-US" w:eastAsia="zh-CN"/>
        </w:rPr>
        <w:t>货期：12天</w:t>
      </w:r>
      <w:r>
        <w:rPr>
          <w:rFonts w:hint="eastAsia" w:ascii="宋体" w:hAnsi="宋体" w:cs="宋体"/>
          <w:bCs/>
          <w:sz w:val="24"/>
          <w:highlight w:val="none"/>
        </w:rPr>
        <w:t>。</w:t>
      </w:r>
    </w:p>
    <w:p w14:paraId="690C9A96">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送货地点及联系人：佛山市禅城区梁园 ，罗啟杭/13929984241 。</w:t>
      </w:r>
    </w:p>
    <w:p w14:paraId="69157B67">
      <w:pPr>
        <w:pStyle w:val="2"/>
        <w:rPr>
          <w:rFonts w:hint="eastAsia"/>
          <w:lang w:val="en-US" w:eastAsia="zh-CN"/>
        </w:rPr>
      </w:pPr>
    </w:p>
    <w:p w14:paraId="4BF42002">
      <w:pPr>
        <w:autoSpaceDE w:val="0"/>
        <w:autoSpaceDN w:val="0"/>
        <w:adjustRightInd w:val="0"/>
        <w:spacing w:line="360" w:lineRule="auto"/>
        <w:ind w:firstLine="482" w:firstLineChars="200"/>
        <w:jc w:val="left"/>
        <w:rPr>
          <w:rFonts w:hint="default" w:ascii="宋体" w:hAnsi="宋体" w:eastAsia="宋体" w:cs="宋体"/>
          <w:b/>
          <w:bCs w:val="0"/>
          <w:sz w:val="24"/>
          <w:highlight w:val="none"/>
          <w:lang w:val="en-US" w:eastAsia="zh-CN"/>
        </w:rPr>
      </w:pPr>
      <w:r>
        <w:rPr>
          <w:rFonts w:hint="eastAsia" w:ascii="宋体" w:hAnsi="宋体" w:cs="宋体"/>
          <w:b/>
          <w:bCs w:val="0"/>
          <w:sz w:val="24"/>
          <w:highlight w:val="none"/>
        </w:rPr>
        <w:t>五、</w:t>
      </w:r>
      <w:r>
        <w:rPr>
          <w:rFonts w:hint="eastAsia" w:ascii="宋体" w:hAnsi="宋体" w:cs="宋体"/>
          <w:b/>
          <w:bCs w:val="0"/>
          <w:sz w:val="24"/>
          <w:highlight w:val="none"/>
          <w:lang w:val="en-US" w:eastAsia="zh-CN"/>
        </w:rPr>
        <w:t>支付条款</w:t>
      </w:r>
    </w:p>
    <w:p w14:paraId="63DEC96C">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甲乙双方签订合同后，甲方预付30%预付款至乙方，乙方按时供货，货到验收合格后7个工作日内甲方支付67%合同金额至乙方，剩余3%作为质保金，质保期满第一年后一次性支付剩余质保金。</w:t>
      </w:r>
    </w:p>
    <w:p w14:paraId="0170EDD4">
      <w:pPr>
        <w:pStyle w:val="2"/>
        <w:rPr>
          <w:rFonts w:hint="default"/>
          <w:lang w:val="en-US" w:eastAsia="zh-CN"/>
        </w:rPr>
      </w:pP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六</w:t>
      </w:r>
      <w:r>
        <w:rPr>
          <w:rFonts w:hint="eastAsia" w:ascii="宋体" w:hAnsi="宋体" w:cs="宋体"/>
          <w:b/>
          <w:bCs w:val="0"/>
          <w:sz w:val="24"/>
          <w:highlight w:val="none"/>
        </w:rPr>
        <w:t>、应邀人要求</w:t>
      </w:r>
    </w:p>
    <w:p w14:paraId="7CBFCF5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）应邀人必须为在中华人民共和国境内注册的独立法人单位或其他组织，具有固定的经营场所，能独立承担民事责任和合同义务，具有法人或其他组织的营业执照等合法、完整、有效的资格证明文件。</w:t>
      </w:r>
    </w:p>
    <w:p w14:paraId="5D8D92C2">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）具备履行合同的能力</w:t>
      </w:r>
      <w:r>
        <w:rPr>
          <w:rFonts w:hint="eastAsia" w:ascii="宋体" w:hAnsi="宋体" w:eastAsia="宋体" w:cs="宋体"/>
          <w:bCs/>
          <w:color w:val="auto"/>
          <w:sz w:val="24"/>
          <w:szCs w:val="24"/>
          <w:highlight w:val="none"/>
          <w:lang w:val="en-US" w:eastAsia="zh-CN"/>
        </w:rPr>
        <w:t>及良好的售后服务团队</w:t>
      </w:r>
      <w:r>
        <w:rPr>
          <w:rFonts w:hint="eastAsia" w:ascii="宋体" w:hAnsi="宋体" w:eastAsia="宋体" w:cs="宋体"/>
          <w:bCs/>
          <w:color w:val="auto"/>
          <w:sz w:val="24"/>
          <w:szCs w:val="24"/>
          <w:highlight w:val="none"/>
          <w:lang w:eastAsia="zh-CN"/>
        </w:rPr>
        <w:t>，包括专业、技术资格和能力，资金、设备和其他物质设施状况，管理能力，经验、信誉和相应的从业人员。</w:t>
      </w:r>
    </w:p>
    <w:p w14:paraId="56B2437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eastAsia="zh-CN"/>
        </w:rPr>
        <w:t>）应邀人没有处于被责令停业，投标资格被取消，财产被接管、冻结、破产状态。</w:t>
      </w:r>
    </w:p>
    <w:p w14:paraId="6363D0D0">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）应邀人在最近三年经营活动内，没有重大违法记录或严重违约或重大质量问题以及法律、行政法规规定的其他情形。</w:t>
      </w:r>
    </w:p>
    <w:p w14:paraId="64B7687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）应邀人不得有弄虚作假、伪造文件等欺诈行为，否则取消投标资格，并列入我公司供应商黑名单，</w:t>
      </w:r>
      <w:r>
        <w:rPr>
          <w:rFonts w:hint="eastAsia" w:ascii="宋体" w:hAnsi="宋体" w:eastAsia="宋体" w:cs="宋体"/>
          <w:bCs/>
          <w:color w:val="auto"/>
          <w:sz w:val="24"/>
          <w:szCs w:val="24"/>
          <w:highlight w:val="none"/>
          <w:lang w:val="en-US" w:eastAsia="zh-CN"/>
        </w:rPr>
        <w:t>限制</w:t>
      </w:r>
      <w:r>
        <w:rPr>
          <w:rFonts w:hint="eastAsia" w:ascii="宋体" w:hAnsi="宋体" w:eastAsia="宋体" w:cs="宋体"/>
          <w:bCs/>
          <w:color w:val="auto"/>
          <w:sz w:val="24"/>
          <w:szCs w:val="24"/>
          <w:highlight w:val="none"/>
          <w:lang w:eastAsia="zh-CN"/>
        </w:rPr>
        <w:t>参加本公司任何</w:t>
      </w:r>
      <w:r>
        <w:rPr>
          <w:rFonts w:hint="eastAsia" w:ascii="宋体" w:hAnsi="宋体" w:eastAsia="宋体" w:cs="宋体"/>
          <w:bCs/>
          <w:color w:val="auto"/>
          <w:sz w:val="24"/>
          <w:szCs w:val="24"/>
          <w:highlight w:val="none"/>
          <w:lang w:val="en-US" w:eastAsia="zh-CN"/>
        </w:rPr>
        <w:t>招标、询价</w:t>
      </w:r>
      <w:r>
        <w:rPr>
          <w:rFonts w:hint="eastAsia" w:ascii="宋体" w:hAnsi="宋体" w:eastAsia="宋体" w:cs="宋体"/>
          <w:bCs/>
          <w:color w:val="auto"/>
          <w:sz w:val="24"/>
          <w:szCs w:val="24"/>
          <w:highlight w:val="none"/>
          <w:lang w:eastAsia="zh-CN"/>
        </w:rPr>
        <w:t>活动。</w:t>
      </w:r>
    </w:p>
    <w:p w14:paraId="1A31940A">
      <w:pPr>
        <w:pStyle w:val="2"/>
        <w:rPr>
          <w:rFonts w:hint="eastAsia"/>
          <w:lang w:eastAsia="zh-CN"/>
        </w:rPr>
      </w:pP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七</w:t>
      </w:r>
      <w:r>
        <w:rPr>
          <w:rFonts w:hint="eastAsia" w:ascii="宋体" w:hAnsi="宋体" w:cs="宋体"/>
          <w:b/>
          <w:bCs w:val="0"/>
          <w:sz w:val="24"/>
          <w:highlight w:val="none"/>
        </w:rPr>
        <w:t>、报价要求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w:t>
      </w:r>
      <w:r>
        <w:rPr>
          <w:rFonts w:hint="eastAsia" w:ascii="宋体" w:hAnsi="宋体" w:cs="宋体"/>
          <w:bCs/>
          <w:sz w:val="24"/>
          <w:highlight w:val="none"/>
          <w:lang w:val="en-US" w:eastAsia="zh-CN"/>
        </w:rPr>
        <w:t>询价</w:t>
      </w:r>
      <w:r>
        <w:rPr>
          <w:rFonts w:hint="eastAsia" w:ascii="宋体" w:hAnsi="宋体" w:cs="宋体"/>
          <w:bCs/>
          <w:sz w:val="24"/>
          <w:highlight w:val="none"/>
        </w:rPr>
        <w:t>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本次采购预算金额</w:t>
      </w:r>
      <w:r>
        <w:rPr>
          <w:rFonts w:hint="eastAsia" w:ascii="宋体" w:hAnsi="宋体" w:cs="宋体"/>
          <w:bCs/>
          <w:sz w:val="24"/>
          <w:highlight w:val="none"/>
        </w:rPr>
        <w:t>总价</w:t>
      </w:r>
      <w:r>
        <w:rPr>
          <w:rFonts w:hint="eastAsia" w:ascii="宋体" w:hAnsi="宋体" w:cs="宋体"/>
          <w:b/>
          <w:bCs w:val="0"/>
          <w:sz w:val="24"/>
          <w:highlight w:val="none"/>
          <w:u w:val="single"/>
          <w:lang w:val="en-US" w:eastAsia="zh-CN"/>
        </w:rPr>
        <w:t xml:space="preserve">194250.00 </w:t>
      </w:r>
      <w:r>
        <w:rPr>
          <w:rFonts w:hint="eastAsia" w:ascii="宋体" w:hAnsi="宋体" w:cs="Times New Roman"/>
          <w:b/>
          <w:bCs/>
          <w:color w:val="000000"/>
          <w:sz w:val="22"/>
          <w:szCs w:val="24"/>
          <w:highlight w:val="none"/>
          <w:u w:val="single"/>
          <w:lang w:val="en-US" w:eastAsia="zh-CN"/>
        </w:rPr>
        <w:t xml:space="preserve"> 元</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502247EB">
      <w:pPr>
        <w:pStyle w:val="2"/>
        <w:rPr>
          <w:rFonts w:hint="eastAsia"/>
        </w:rPr>
      </w:pP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八</w:t>
      </w:r>
      <w:r>
        <w:rPr>
          <w:rFonts w:hint="eastAsia" w:ascii="宋体" w:hAnsi="宋体" w:cs="宋体"/>
          <w:b/>
          <w:bCs w:val="0"/>
          <w:sz w:val="24"/>
          <w:highlight w:val="none"/>
        </w:rPr>
        <w:t>、评标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w:t>
      </w:r>
      <w:r>
        <w:rPr>
          <w:rFonts w:hint="eastAsia" w:ascii="宋体" w:hAnsi="宋体" w:cs="宋体"/>
          <w:bCs/>
          <w:sz w:val="24"/>
          <w:highlight w:val="none"/>
          <w:lang w:val="en-US" w:eastAsia="zh-CN"/>
        </w:rPr>
        <w:t>询价</w:t>
      </w:r>
      <w:r>
        <w:rPr>
          <w:rFonts w:hint="eastAsia" w:ascii="宋体" w:hAnsi="宋体" w:cs="宋体"/>
          <w:bCs/>
          <w:sz w:val="24"/>
          <w:highlight w:val="none"/>
        </w:rPr>
        <w:t>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46A737CD">
      <w:pPr>
        <w:pStyle w:val="2"/>
        <w:rPr>
          <w:rFonts w:hint="eastAsia"/>
        </w:rPr>
      </w:pPr>
    </w:p>
    <w:p w14:paraId="54DDA9B9">
      <w:pPr>
        <w:numPr>
          <w:ilvl w:val="0"/>
          <w:numId w:val="0"/>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cs="宋体"/>
          <w:b/>
          <w:bCs/>
          <w:color w:val="000000"/>
          <w:kern w:val="0"/>
          <w:sz w:val="24"/>
          <w:szCs w:val="24"/>
          <w:lang w:val="en-US" w:eastAsia="zh-CN" w:bidi="zh-TW"/>
        </w:rPr>
        <w:t>九</w:t>
      </w:r>
      <w:r>
        <w:rPr>
          <w:rFonts w:hint="eastAsia" w:ascii="宋体" w:hAnsi="宋体" w:eastAsia="宋体" w:cs="宋体"/>
          <w:b/>
          <w:bCs/>
          <w:color w:val="000000"/>
          <w:kern w:val="0"/>
          <w:sz w:val="24"/>
          <w:szCs w:val="24"/>
          <w:lang w:val="zh-TW" w:eastAsia="zh-TW" w:bidi="zh-TW"/>
        </w:rPr>
        <w:t>、</w:t>
      </w: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0" w:firstLineChars="200"/>
        <w:jc w:val="left"/>
        <w:rPr>
          <w:rFonts w:hint="eastAsia" w:ascii="宋体" w:hAnsi="宋体" w:cs="宋体"/>
          <w:bCs/>
          <w:color w:val="auto"/>
          <w:sz w:val="24"/>
          <w:highlight w:val="none"/>
          <w:lang w:val="zh-TW" w:eastAsia="zh-TW"/>
        </w:rPr>
      </w:pPr>
      <w:r>
        <w:rPr>
          <w:rFonts w:hint="eastAsia" w:ascii="宋体" w:hAnsi="宋体" w:cs="宋体"/>
          <w:bCs/>
          <w:color w:val="auto"/>
          <w:sz w:val="24"/>
          <w:highlight w:val="none"/>
          <w:lang w:val="en-US" w:eastAsia="zh-CN"/>
        </w:rPr>
        <w:t>报价文件出现下列情形之一的，应当作为无效报价文件：</w:t>
      </w:r>
    </w:p>
    <w:p w14:paraId="0A600D47">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（一）</w:t>
      </w:r>
      <w:r>
        <w:rPr>
          <w:rFonts w:hint="eastAsia" w:ascii="宋体" w:hAnsi="宋体"/>
          <w:sz w:val="24"/>
          <w:szCs w:val="24"/>
          <w:highlight w:val="none"/>
        </w:rPr>
        <w:t>报价</w:t>
      </w:r>
      <w:r>
        <w:rPr>
          <w:rFonts w:ascii="宋体" w:hAnsi="宋体"/>
          <w:sz w:val="24"/>
          <w:szCs w:val="24"/>
          <w:highlight w:val="none"/>
        </w:rPr>
        <w:t>文件未按照本</w:t>
      </w:r>
      <w:r>
        <w:rPr>
          <w:rFonts w:hint="eastAsia" w:ascii="宋体" w:hAnsi="宋体"/>
          <w:sz w:val="24"/>
          <w:szCs w:val="24"/>
          <w:highlight w:val="none"/>
          <w:lang w:val="en-US" w:eastAsia="zh-CN"/>
        </w:rPr>
        <w:t>询价文件</w:t>
      </w:r>
      <w:r>
        <w:rPr>
          <w:rFonts w:ascii="宋体" w:hAnsi="宋体"/>
          <w:sz w:val="24"/>
          <w:szCs w:val="24"/>
          <w:highlight w:val="none"/>
        </w:rPr>
        <w:t>要求装订、密封和标记的</w:t>
      </w:r>
      <w:r>
        <w:rPr>
          <w:rFonts w:hint="eastAsia" w:ascii="宋体" w:hAnsi="宋体"/>
          <w:sz w:val="24"/>
          <w:szCs w:val="24"/>
          <w:highlight w:val="none"/>
          <w:lang w:eastAsia="zh-CN"/>
        </w:rPr>
        <w:t>，</w:t>
      </w:r>
      <w:r>
        <w:rPr>
          <w:rFonts w:ascii="宋体" w:hAnsi="宋体"/>
          <w:sz w:val="24"/>
          <w:szCs w:val="24"/>
          <w:highlight w:val="none"/>
        </w:rPr>
        <w:t>关键内容字迹模糊、无法辨认的；</w:t>
      </w:r>
    </w:p>
    <w:p w14:paraId="46C9CAFB">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二</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报价</w:t>
      </w:r>
      <w:r>
        <w:rPr>
          <w:rFonts w:ascii="宋体" w:hAnsi="宋体"/>
          <w:sz w:val="24"/>
          <w:szCs w:val="24"/>
          <w:highlight w:val="none"/>
        </w:rPr>
        <w:t>文件</w:t>
      </w:r>
      <w:r>
        <w:rPr>
          <w:rFonts w:hint="eastAsia" w:ascii="宋体" w:hAnsi="宋体"/>
          <w:sz w:val="24"/>
          <w:szCs w:val="24"/>
          <w:highlight w:val="none"/>
          <w:lang w:val="en-US" w:eastAsia="zh-CN"/>
        </w:rPr>
        <w:t>未提供“营业执照”文件的</w:t>
      </w:r>
      <w:r>
        <w:rPr>
          <w:rFonts w:ascii="宋体" w:hAnsi="宋体"/>
          <w:sz w:val="24"/>
          <w:szCs w:val="24"/>
          <w:highlight w:val="none"/>
        </w:rPr>
        <w:t>；</w:t>
      </w:r>
    </w:p>
    <w:p w14:paraId="510DACE6">
      <w:pPr>
        <w:spacing w:line="360" w:lineRule="auto"/>
        <w:ind w:firstLine="410" w:firstLineChars="171"/>
        <w:rPr>
          <w:rFonts w:hint="eastAsia"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三</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逾期送达的或者未送达指定地点的；</w:t>
      </w:r>
    </w:p>
    <w:p w14:paraId="12F6680C">
      <w:pPr>
        <w:spacing w:line="360" w:lineRule="auto"/>
        <w:ind w:firstLine="410" w:firstLineChars="171"/>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四</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lang w:eastAsia="zh-CN"/>
        </w:rPr>
        <w:t>投标人</w:t>
      </w:r>
      <w:r>
        <w:rPr>
          <w:rFonts w:hint="eastAsia" w:ascii="宋体" w:hAnsi="宋体"/>
          <w:sz w:val="24"/>
          <w:szCs w:val="24"/>
          <w:highlight w:val="none"/>
        </w:rPr>
        <w:t>报价超过采购</w:t>
      </w:r>
      <w:r>
        <w:rPr>
          <w:rFonts w:hint="eastAsia" w:ascii="宋体" w:hAnsi="宋体"/>
          <w:sz w:val="24"/>
          <w:szCs w:val="24"/>
          <w:highlight w:val="none"/>
          <w:lang w:val="en-US" w:eastAsia="zh-CN"/>
        </w:rPr>
        <w:t>预算金额</w:t>
      </w:r>
      <w:r>
        <w:rPr>
          <w:rFonts w:hint="eastAsia" w:ascii="宋体" w:hAnsi="宋体"/>
          <w:sz w:val="24"/>
          <w:szCs w:val="24"/>
          <w:highlight w:val="none"/>
        </w:rPr>
        <w:t>的</w:t>
      </w:r>
      <w:r>
        <w:rPr>
          <w:rFonts w:hint="eastAsia" w:ascii="宋体" w:hAnsi="宋体"/>
          <w:sz w:val="24"/>
          <w:szCs w:val="24"/>
          <w:highlight w:val="none"/>
          <w:lang w:eastAsia="zh-CN"/>
        </w:rPr>
        <w:t>；</w:t>
      </w:r>
    </w:p>
    <w:p w14:paraId="391B9402">
      <w:pPr>
        <w:spacing w:line="360" w:lineRule="auto"/>
        <w:ind w:firstLine="410" w:firstLineChars="171"/>
        <w:rPr>
          <w:rFonts w:hint="eastAsia" w:ascii="宋体" w:hAnsi="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五</w:t>
      </w:r>
      <w:r>
        <w:rPr>
          <w:rFonts w:hint="eastAsia" w:ascii="宋体" w:hAnsi="宋体"/>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sz w:val="24"/>
          <w:szCs w:val="24"/>
          <w:highlight w:val="none"/>
          <w:lang w:val="en-US" w:eastAsia="zh-CN"/>
        </w:rPr>
        <w:t>的。</w:t>
      </w:r>
    </w:p>
    <w:p w14:paraId="77E0511B">
      <w:pPr>
        <w:pStyle w:val="2"/>
      </w:pP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p>
    <w:p w14:paraId="5E6CCE04">
      <w:pPr>
        <w:spacing w:line="360" w:lineRule="auto"/>
        <w:ind w:firstLine="482" w:firstLineChars="200"/>
        <w:rPr>
          <w:rFonts w:hint="eastAsia" w:ascii="宋体" w:hAnsi="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w:t>
      </w:r>
      <w:r>
        <w:rPr>
          <w:rFonts w:hint="eastAsia" w:ascii="宋体" w:hAnsi="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w:t>
      </w:r>
      <w:r>
        <w:rPr>
          <w:rFonts w:hint="eastAsia" w:ascii="宋体" w:hAnsi="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三</w:t>
      </w:r>
      <w:r>
        <w:rPr>
          <w:rFonts w:hint="eastAsia" w:ascii="宋体" w:hAnsi="宋体" w:eastAsia="宋体" w:cs="宋体"/>
          <w:color w:val="auto"/>
          <w:kern w:val="0"/>
          <w:sz w:val="24"/>
          <w:highlight w:val="none"/>
          <w:lang w:val="zh-TW" w:eastAsia="zh-TW" w:bidi="zh-TW"/>
        </w:rPr>
        <w:t>）投标单位认为有必要提供的其他文件。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四</w:t>
      </w:r>
      <w:r>
        <w:rPr>
          <w:rFonts w:hint="eastAsia" w:ascii="宋体" w:hAnsi="宋体" w:eastAsia="宋体" w:cs="宋体"/>
          <w:color w:val="auto"/>
          <w:kern w:val="0"/>
          <w:sz w:val="24"/>
          <w:highlight w:val="none"/>
          <w:lang w:val="zh-TW" w:eastAsia="zh-TW" w:bidi="zh-TW"/>
        </w:rPr>
        <w:t>）投标文件及相关资料必须加盖单位公章。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w:t>
      </w:r>
      <w:r>
        <w:rPr>
          <w:rFonts w:hint="eastAsia" w:cs="宋体" w:asciiTheme="minorEastAsia" w:hAnsiTheme="minorEastAsia"/>
          <w:color w:val="auto"/>
          <w:kern w:val="0"/>
          <w:sz w:val="24"/>
          <w:highlight w:val="none"/>
          <w:lang w:val="en-US" w:eastAsia="zh-CN" w:bidi="zh-TW"/>
        </w:rPr>
        <w:t>五</w:t>
      </w:r>
      <w:r>
        <w:rPr>
          <w:rFonts w:hint="eastAsia" w:cs="宋体" w:asciiTheme="minorEastAsia" w:hAnsiTheme="minorEastAsia"/>
          <w:color w:val="auto"/>
          <w:kern w:val="0"/>
          <w:sz w:val="24"/>
          <w:highlight w:val="none"/>
          <w:lang w:val="zh-TW" w:eastAsia="zh-TW" w:bidi="zh-TW"/>
        </w:rPr>
        <w:t>）</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六</w:t>
      </w: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bookmarkStart w:id="2" w:name="_GoBack"/>
      <w:bookmarkEnd w:id="2"/>
      <w:r>
        <w:rPr>
          <w:rFonts w:hint="eastAsia" w:ascii="宋体" w:hAnsi="宋体" w:cs="宋体"/>
          <w:color w:val="auto"/>
          <w:kern w:val="0"/>
          <w:sz w:val="24"/>
          <w:highlight w:val="none"/>
          <w:u w:val="single"/>
          <w:lang w:val="en-US" w:eastAsia="zh-CN" w:bidi="zh-TW"/>
        </w:rPr>
        <w:t xml:space="preserve"> 2025 </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15</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9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七</w:t>
      </w: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招标联系人：</w:t>
      </w:r>
      <w:r>
        <w:rPr>
          <w:rFonts w:hint="eastAsia" w:ascii="宋体" w:hAnsi="宋体" w:eastAsia="宋体" w:cs="宋体"/>
          <w:color w:val="auto"/>
          <w:kern w:val="0"/>
          <w:sz w:val="24"/>
          <w:szCs w:val="24"/>
          <w:highlight w:val="none"/>
          <w:lang w:val="en-US" w:eastAsia="zh-CN" w:bidi="zh-TW"/>
        </w:rPr>
        <w:t>何工15820634162（微信同号），投标人需在投标截止时间前2日内向招标联系人报名。</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7"/>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7"/>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4"/>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 xml:space="preserve">   </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1573CDC7">
      <w:pPr>
        <w:pStyle w:val="5"/>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9"/>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val="en-US" w:eastAsia="zh-CN"/>
        </w:rPr>
        <w:t>佛山梁园活化利用项目（灯光亮化提升）灯光采购安装-配电箱采购</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并完全响应贵司询价文件、质量标准及技术要求及合同范本的各项要求</w:t>
      </w:r>
      <w:r>
        <w:rPr>
          <w:rFonts w:hint="eastAsia" w:ascii="宋体" w:hAnsi="宋体" w:cs="宋体"/>
          <w:highlight w:val="none"/>
        </w:rPr>
        <w:t>，我司的最终报价如下：</w:t>
      </w:r>
    </w:p>
    <w:tbl>
      <w:tblPr>
        <w:tblStyle w:val="19"/>
        <w:tblW w:w="99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
        <w:gridCol w:w="1169"/>
        <w:gridCol w:w="1557"/>
        <w:gridCol w:w="466"/>
        <w:gridCol w:w="741"/>
        <w:gridCol w:w="674"/>
        <w:gridCol w:w="674"/>
        <w:gridCol w:w="883"/>
        <w:gridCol w:w="3364"/>
      </w:tblGrid>
      <w:tr w14:paraId="1C70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C9B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C7A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F65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F5F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A1A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83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B8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70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价税合计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8DB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52F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C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D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AC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1.名称:落地式配电箱 ZAL1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E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F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7831">
            <w:pPr>
              <w:jc w:val="center"/>
              <w:rPr>
                <w:rFonts w:hint="eastAsia" w:ascii="宋体" w:hAnsi="宋体" w:eastAsia="宋体" w:cs="宋体"/>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9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F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0B5B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1、以上报价包含送货卸货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2、所供的</w:t>
            </w:r>
            <w:r>
              <w:rPr>
                <w:rFonts w:hint="eastAsia" w:ascii="宋体" w:hAnsi="宋体" w:cs="宋体"/>
                <w:i w:val="0"/>
                <w:iCs w:val="0"/>
                <w:color w:val="000000"/>
                <w:kern w:val="0"/>
                <w:sz w:val="21"/>
                <w:szCs w:val="21"/>
                <w:u w:val="none"/>
                <w:lang w:val="en-US" w:eastAsia="zh-CN" w:bidi="ar"/>
              </w:rPr>
              <w:t>配电箱</w:t>
            </w:r>
            <w:r>
              <w:rPr>
                <w:rFonts w:hint="eastAsia" w:ascii="宋体" w:hAnsi="宋体" w:eastAsia="宋体" w:cs="宋体"/>
                <w:i w:val="0"/>
                <w:iCs w:val="0"/>
                <w:color w:val="000000"/>
                <w:kern w:val="0"/>
                <w:sz w:val="21"/>
                <w:szCs w:val="21"/>
                <w:u w:val="none"/>
                <w:lang w:val="en-US" w:eastAsia="zh-CN" w:bidi="ar"/>
              </w:rPr>
              <w:t>必须满足相关国家标准及行业标准</w:t>
            </w:r>
            <w:r>
              <w:rPr>
                <w:rFonts w:hint="eastAsia" w:ascii="宋体" w:hAnsi="宋体" w:cs="宋体"/>
                <w:i w:val="0"/>
                <w:iCs w:val="0"/>
                <w:color w:val="000000"/>
                <w:kern w:val="0"/>
                <w:sz w:val="21"/>
                <w:szCs w:val="21"/>
                <w:u w:val="none"/>
                <w:lang w:val="en-US" w:eastAsia="zh-CN" w:bidi="ar"/>
              </w:rPr>
              <w:t>，严格按照图纸和清单生产。</w:t>
            </w:r>
          </w:p>
        </w:tc>
      </w:tr>
      <w:tr w14:paraId="7BEB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8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7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6F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1.名称:落地式配电箱 ZAL2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5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2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498B">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9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1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351C">
            <w:pPr>
              <w:jc w:val="center"/>
              <w:rPr>
                <w:rFonts w:hint="eastAsia" w:ascii="宋体" w:hAnsi="宋体" w:eastAsia="宋体" w:cs="宋体"/>
                <w:i w:val="0"/>
                <w:iCs w:val="0"/>
                <w:color w:val="000000"/>
                <w:sz w:val="21"/>
                <w:szCs w:val="21"/>
                <w:u w:val="none"/>
              </w:rPr>
            </w:pPr>
          </w:p>
        </w:tc>
      </w:tr>
      <w:tr w14:paraId="5984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8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84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1.名称:落地式配电箱 AL1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3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D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7A12">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9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8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12D8">
            <w:pPr>
              <w:jc w:val="center"/>
              <w:rPr>
                <w:rFonts w:hint="eastAsia" w:ascii="宋体" w:hAnsi="宋体" w:eastAsia="宋体" w:cs="宋体"/>
                <w:i w:val="0"/>
                <w:iCs w:val="0"/>
                <w:color w:val="000000"/>
                <w:sz w:val="21"/>
                <w:szCs w:val="21"/>
                <w:u w:val="none"/>
              </w:rPr>
            </w:pPr>
          </w:p>
        </w:tc>
      </w:tr>
      <w:tr w14:paraId="48E7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6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2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C9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1.名称:落地式配电箱 AL2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F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41F6">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A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D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5921">
            <w:pPr>
              <w:jc w:val="center"/>
              <w:rPr>
                <w:rFonts w:hint="eastAsia" w:ascii="宋体" w:hAnsi="宋体" w:eastAsia="宋体" w:cs="宋体"/>
                <w:i w:val="0"/>
                <w:iCs w:val="0"/>
                <w:color w:val="000000"/>
                <w:sz w:val="21"/>
                <w:szCs w:val="21"/>
                <w:u w:val="none"/>
              </w:rPr>
            </w:pPr>
          </w:p>
        </w:tc>
      </w:tr>
      <w:tr w14:paraId="425A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0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5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0E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1.名称:落地式配电箱 AL3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C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A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6FEB">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E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3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30E1">
            <w:pPr>
              <w:jc w:val="center"/>
              <w:rPr>
                <w:rFonts w:hint="eastAsia" w:ascii="宋体" w:hAnsi="宋体" w:eastAsia="宋体" w:cs="宋体"/>
                <w:i w:val="0"/>
                <w:iCs w:val="0"/>
                <w:color w:val="000000"/>
                <w:sz w:val="21"/>
                <w:szCs w:val="21"/>
                <w:u w:val="none"/>
              </w:rPr>
            </w:pPr>
          </w:p>
        </w:tc>
      </w:tr>
      <w:tr w14:paraId="43A8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F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7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1.名称:落地式配电箱 AL4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4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C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7495">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B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D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CE80">
            <w:pPr>
              <w:jc w:val="center"/>
              <w:rPr>
                <w:rFonts w:hint="eastAsia" w:ascii="宋体" w:hAnsi="宋体" w:eastAsia="宋体" w:cs="宋体"/>
                <w:i w:val="0"/>
                <w:iCs w:val="0"/>
                <w:color w:val="000000"/>
                <w:sz w:val="21"/>
                <w:szCs w:val="21"/>
                <w:u w:val="none"/>
              </w:rPr>
            </w:pPr>
          </w:p>
        </w:tc>
      </w:tr>
      <w:tr w14:paraId="5AEA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1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34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1.名称:落地式配电箱 AL5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5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D6D">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9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7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A3F2">
            <w:pPr>
              <w:jc w:val="center"/>
              <w:rPr>
                <w:rFonts w:hint="eastAsia" w:ascii="宋体" w:hAnsi="宋体" w:eastAsia="宋体" w:cs="宋体"/>
                <w:i w:val="0"/>
                <w:iCs w:val="0"/>
                <w:color w:val="000000"/>
                <w:sz w:val="21"/>
                <w:szCs w:val="21"/>
                <w:u w:val="none"/>
              </w:rPr>
            </w:pPr>
          </w:p>
        </w:tc>
      </w:tr>
      <w:tr w14:paraId="45DE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7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1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1.名称:落地式配电箱 AL6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8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2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3783">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9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D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B19B">
            <w:pPr>
              <w:jc w:val="center"/>
              <w:rPr>
                <w:rFonts w:hint="eastAsia" w:ascii="宋体" w:hAnsi="宋体" w:eastAsia="宋体" w:cs="宋体"/>
                <w:i w:val="0"/>
                <w:iCs w:val="0"/>
                <w:color w:val="000000"/>
                <w:sz w:val="21"/>
                <w:szCs w:val="21"/>
                <w:u w:val="none"/>
              </w:rPr>
            </w:pPr>
          </w:p>
        </w:tc>
      </w:tr>
      <w:tr w14:paraId="7559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9B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1B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B0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9F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75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0ABD">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D7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C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BBB4">
            <w:pPr>
              <w:jc w:val="center"/>
              <w:rPr>
                <w:rFonts w:hint="eastAsia" w:ascii="宋体" w:hAnsi="宋体" w:eastAsia="宋体" w:cs="宋体"/>
                <w:i w:val="0"/>
                <w:iCs w:val="0"/>
                <w:color w:val="000000"/>
                <w:sz w:val="21"/>
                <w:szCs w:val="21"/>
                <w:u w:val="none"/>
              </w:rPr>
            </w:pPr>
          </w:p>
        </w:tc>
      </w:tr>
      <w:tr w14:paraId="47F3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17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3A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103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B2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1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2806">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48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A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0CFD4">
            <w:pPr>
              <w:jc w:val="center"/>
              <w:rPr>
                <w:rFonts w:hint="eastAsia" w:ascii="宋体" w:hAnsi="宋体" w:eastAsia="宋体" w:cs="宋体"/>
                <w:i w:val="0"/>
                <w:iCs w:val="0"/>
                <w:color w:val="000000"/>
                <w:sz w:val="21"/>
                <w:szCs w:val="21"/>
                <w:u w:val="none"/>
              </w:rPr>
            </w:pPr>
          </w:p>
        </w:tc>
      </w:tr>
      <w:tr w14:paraId="67BE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B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9D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B9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84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DC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0D46">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52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0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1132">
            <w:pPr>
              <w:jc w:val="center"/>
              <w:rPr>
                <w:rFonts w:hint="eastAsia" w:ascii="宋体" w:hAnsi="宋体" w:eastAsia="宋体" w:cs="宋体"/>
                <w:i w:val="0"/>
                <w:iCs w:val="0"/>
                <w:color w:val="000000"/>
                <w:sz w:val="21"/>
                <w:szCs w:val="21"/>
                <w:u w:val="none"/>
              </w:rPr>
            </w:pPr>
          </w:p>
        </w:tc>
      </w:tr>
      <w:tr w14:paraId="7DE2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3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6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8A2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71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1C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30A4">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F1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B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94DDF">
            <w:pPr>
              <w:jc w:val="center"/>
              <w:rPr>
                <w:rFonts w:hint="eastAsia" w:ascii="宋体" w:hAnsi="宋体" w:eastAsia="宋体" w:cs="宋体"/>
                <w:i w:val="0"/>
                <w:iCs w:val="0"/>
                <w:color w:val="000000"/>
                <w:sz w:val="21"/>
                <w:szCs w:val="21"/>
                <w:u w:val="none"/>
              </w:rPr>
            </w:pPr>
          </w:p>
        </w:tc>
      </w:tr>
      <w:tr w14:paraId="400B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2F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2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B4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A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0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5153">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A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2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F46E0">
            <w:pPr>
              <w:jc w:val="center"/>
              <w:rPr>
                <w:rFonts w:hint="eastAsia" w:ascii="宋体" w:hAnsi="宋体" w:eastAsia="宋体" w:cs="宋体"/>
                <w:i w:val="0"/>
                <w:iCs w:val="0"/>
                <w:color w:val="000000"/>
                <w:sz w:val="21"/>
                <w:szCs w:val="21"/>
                <w:u w:val="none"/>
              </w:rPr>
            </w:pPr>
          </w:p>
        </w:tc>
      </w:tr>
      <w:tr w14:paraId="3EF3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3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E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24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8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4F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4FD1">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EB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8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A2E7">
            <w:pPr>
              <w:jc w:val="center"/>
              <w:rPr>
                <w:rFonts w:hint="eastAsia" w:ascii="宋体" w:hAnsi="宋体" w:eastAsia="宋体" w:cs="宋体"/>
                <w:i w:val="0"/>
                <w:iCs w:val="0"/>
                <w:color w:val="000000"/>
                <w:sz w:val="21"/>
                <w:szCs w:val="21"/>
                <w:u w:val="none"/>
              </w:rPr>
            </w:pPr>
          </w:p>
        </w:tc>
      </w:tr>
      <w:tr w14:paraId="10DF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F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FDD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05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19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90CB">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9C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D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7DBC">
            <w:pPr>
              <w:jc w:val="center"/>
              <w:rPr>
                <w:rFonts w:hint="eastAsia" w:ascii="宋体" w:hAnsi="宋体" w:eastAsia="宋体" w:cs="宋体"/>
                <w:i w:val="0"/>
                <w:iCs w:val="0"/>
                <w:color w:val="000000"/>
                <w:sz w:val="21"/>
                <w:szCs w:val="21"/>
                <w:u w:val="none"/>
              </w:rPr>
            </w:pPr>
          </w:p>
        </w:tc>
      </w:tr>
      <w:tr w14:paraId="1FD7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2D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EA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448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EA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B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F751">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0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F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BFD1">
            <w:pPr>
              <w:jc w:val="center"/>
              <w:rPr>
                <w:rFonts w:hint="eastAsia" w:ascii="宋体" w:hAnsi="宋体" w:eastAsia="宋体" w:cs="宋体"/>
                <w:i w:val="0"/>
                <w:iCs w:val="0"/>
                <w:color w:val="000000"/>
                <w:sz w:val="21"/>
                <w:szCs w:val="21"/>
                <w:u w:val="none"/>
              </w:rPr>
            </w:pPr>
          </w:p>
        </w:tc>
      </w:tr>
      <w:tr w14:paraId="4969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D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4A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F6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DE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D5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BAB3">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3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5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75106">
            <w:pPr>
              <w:jc w:val="center"/>
              <w:rPr>
                <w:rFonts w:hint="eastAsia" w:ascii="宋体" w:hAnsi="宋体" w:eastAsia="宋体" w:cs="宋体"/>
                <w:i w:val="0"/>
                <w:iCs w:val="0"/>
                <w:color w:val="000000"/>
                <w:sz w:val="21"/>
                <w:szCs w:val="21"/>
                <w:u w:val="none"/>
              </w:rPr>
            </w:pPr>
          </w:p>
        </w:tc>
      </w:tr>
      <w:tr w14:paraId="3D04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15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3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67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B4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A3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6956">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D6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46D8">
            <w:pPr>
              <w:jc w:val="center"/>
              <w:rPr>
                <w:rFonts w:hint="eastAsia" w:ascii="宋体" w:hAnsi="宋体" w:eastAsia="宋体" w:cs="宋体"/>
                <w:i w:val="0"/>
                <w:iCs w:val="0"/>
                <w:color w:val="000000"/>
                <w:sz w:val="21"/>
                <w:szCs w:val="21"/>
                <w:u w:val="none"/>
              </w:rPr>
            </w:pPr>
          </w:p>
        </w:tc>
      </w:tr>
      <w:tr w14:paraId="252E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8D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9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6A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9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CF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79D7">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A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6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3376">
            <w:pPr>
              <w:jc w:val="center"/>
              <w:rPr>
                <w:rFonts w:hint="eastAsia" w:ascii="宋体" w:hAnsi="宋体" w:eastAsia="宋体" w:cs="宋体"/>
                <w:i w:val="0"/>
                <w:iCs w:val="0"/>
                <w:color w:val="000000"/>
                <w:sz w:val="21"/>
                <w:szCs w:val="21"/>
                <w:u w:val="none"/>
              </w:rPr>
            </w:pPr>
          </w:p>
        </w:tc>
      </w:tr>
      <w:tr w14:paraId="50AC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8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B8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E5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5A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41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126E">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C3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8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38B9">
            <w:pPr>
              <w:jc w:val="center"/>
              <w:rPr>
                <w:rFonts w:hint="eastAsia" w:ascii="宋体" w:hAnsi="宋体" w:eastAsia="宋体" w:cs="宋体"/>
                <w:i w:val="0"/>
                <w:iCs w:val="0"/>
                <w:color w:val="000000"/>
                <w:sz w:val="21"/>
                <w:szCs w:val="21"/>
                <w:u w:val="none"/>
              </w:rPr>
            </w:pPr>
          </w:p>
        </w:tc>
      </w:tr>
      <w:tr w14:paraId="06AC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40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5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C0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6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A8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8F7F">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72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6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3180">
            <w:pPr>
              <w:jc w:val="center"/>
              <w:rPr>
                <w:rFonts w:hint="eastAsia" w:ascii="宋体" w:hAnsi="宋体" w:eastAsia="宋体" w:cs="宋体"/>
                <w:i w:val="0"/>
                <w:iCs w:val="0"/>
                <w:color w:val="000000"/>
                <w:sz w:val="21"/>
                <w:szCs w:val="21"/>
                <w:u w:val="none"/>
              </w:rPr>
            </w:pPr>
          </w:p>
        </w:tc>
      </w:tr>
      <w:tr w14:paraId="4EDD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16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B0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A96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8E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BC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1407">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2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2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3635">
            <w:pPr>
              <w:jc w:val="center"/>
              <w:rPr>
                <w:rFonts w:hint="eastAsia" w:ascii="宋体" w:hAnsi="宋体" w:eastAsia="宋体" w:cs="宋体"/>
                <w:i w:val="0"/>
                <w:iCs w:val="0"/>
                <w:color w:val="000000"/>
                <w:sz w:val="21"/>
                <w:szCs w:val="21"/>
                <w:u w:val="none"/>
              </w:rPr>
            </w:pPr>
          </w:p>
        </w:tc>
      </w:tr>
      <w:tr w14:paraId="3CC9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6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6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F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E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3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61CD">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F0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3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77041">
            <w:pPr>
              <w:jc w:val="center"/>
              <w:rPr>
                <w:rFonts w:hint="eastAsia" w:ascii="宋体" w:hAnsi="宋体" w:eastAsia="宋体" w:cs="宋体"/>
                <w:i w:val="0"/>
                <w:iCs w:val="0"/>
                <w:color w:val="000000"/>
                <w:sz w:val="21"/>
                <w:szCs w:val="21"/>
                <w:u w:val="none"/>
              </w:rPr>
            </w:pPr>
          </w:p>
        </w:tc>
      </w:tr>
      <w:tr w14:paraId="3779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24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A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F4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B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4B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7EE6">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4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A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C747">
            <w:pPr>
              <w:jc w:val="center"/>
              <w:rPr>
                <w:rFonts w:hint="eastAsia" w:ascii="宋体" w:hAnsi="宋体" w:eastAsia="宋体" w:cs="宋体"/>
                <w:i w:val="0"/>
                <w:iCs w:val="0"/>
                <w:color w:val="000000"/>
                <w:sz w:val="21"/>
                <w:szCs w:val="21"/>
                <w:u w:val="none"/>
              </w:rPr>
            </w:pPr>
          </w:p>
        </w:tc>
      </w:tr>
      <w:tr w14:paraId="1B00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77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34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64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1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67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AEB5">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4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0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FD31">
            <w:pPr>
              <w:jc w:val="center"/>
              <w:rPr>
                <w:rFonts w:hint="eastAsia" w:ascii="宋体" w:hAnsi="宋体" w:eastAsia="宋体" w:cs="宋体"/>
                <w:i w:val="0"/>
                <w:iCs w:val="0"/>
                <w:color w:val="000000"/>
                <w:sz w:val="21"/>
                <w:szCs w:val="21"/>
                <w:u w:val="none"/>
              </w:rPr>
            </w:pPr>
          </w:p>
        </w:tc>
      </w:tr>
      <w:tr w14:paraId="72F2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9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2E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6A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1A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7B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F8C3">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0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2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8204">
            <w:pPr>
              <w:jc w:val="center"/>
              <w:rPr>
                <w:rFonts w:hint="eastAsia" w:ascii="宋体" w:hAnsi="宋体" w:eastAsia="宋体" w:cs="宋体"/>
                <w:i w:val="0"/>
                <w:iCs w:val="0"/>
                <w:color w:val="000000"/>
                <w:sz w:val="21"/>
                <w:szCs w:val="21"/>
                <w:u w:val="none"/>
              </w:rPr>
            </w:pPr>
          </w:p>
        </w:tc>
      </w:tr>
      <w:tr w14:paraId="3F58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1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E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6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DE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9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B22A">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CA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A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DB8C">
            <w:pPr>
              <w:jc w:val="center"/>
              <w:rPr>
                <w:rFonts w:hint="eastAsia" w:ascii="宋体" w:hAnsi="宋体" w:eastAsia="宋体" w:cs="宋体"/>
                <w:i w:val="0"/>
                <w:iCs w:val="0"/>
                <w:color w:val="000000"/>
                <w:sz w:val="21"/>
                <w:szCs w:val="21"/>
                <w:u w:val="none"/>
              </w:rPr>
            </w:pPr>
          </w:p>
        </w:tc>
      </w:tr>
      <w:tr w14:paraId="581A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9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4C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F3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36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63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6BAD">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E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8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2C2A0">
            <w:pPr>
              <w:jc w:val="center"/>
              <w:rPr>
                <w:rFonts w:hint="eastAsia" w:ascii="宋体" w:hAnsi="宋体" w:eastAsia="宋体" w:cs="宋体"/>
                <w:i w:val="0"/>
                <w:iCs w:val="0"/>
                <w:color w:val="000000"/>
                <w:sz w:val="21"/>
                <w:szCs w:val="21"/>
                <w:u w:val="none"/>
              </w:rPr>
            </w:pPr>
          </w:p>
        </w:tc>
      </w:tr>
      <w:tr w14:paraId="278C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D0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DE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top"/>
          </w:tcPr>
          <w:p w14:paraId="50F95FA3">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AL27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9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B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09EF">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B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1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A5E18">
            <w:pPr>
              <w:jc w:val="center"/>
              <w:rPr>
                <w:rFonts w:hint="eastAsia" w:ascii="宋体" w:hAnsi="宋体" w:eastAsia="宋体" w:cs="宋体"/>
                <w:i w:val="0"/>
                <w:iCs w:val="0"/>
                <w:color w:val="000000"/>
                <w:sz w:val="21"/>
                <w:szCs w:val="21"/>
                <w:u w:val="none"/>
              </w:rPr>
            </w:pPr>
          </w:p>
        </w:tc>
      </w:tr>
      <w:tr w14:paraId="7447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76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2A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3A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5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0A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C9E5">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8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A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9800">
            <w:pPr>
              <w:jc w:val="center"/>
              <w:rPr>
                <w:rFonts w:hint="eastAsia" w:ascii="宋体" w:hAnsi="宋体" w:eastAsia="宋体" w:cs="宋体"/>
                <w:i w:val="0"/>
                <w:iCs w:val="0"/>
                <w:color w:val="000000"/>
                <w:sz w:val="21"/>
                <w:szCs w:val="21"/>
                <w:u w:val="none"/>
              </w:rPr>
            </w:pPr>
          </w:p>
        </w:tc>
      </w:tr>
      <w:tr w14:paraId="05E2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AC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6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00D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AL29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E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5A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64D5">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D0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4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8152">
            <w:pPr>
              <w:jc w:val="center"/>
              <w:rPr>
                <w:rFonts w:hint="eastAsia" w:ascii="宋体" w:hAnsi="宋体" w:eastAsia="宋体" w:cs="宋体"/>
                <w:i w:val="0"/>
                <w:iCs w:val="0"/>
                <w:color w:val="000000"/>
                <w:sz w:val="21"/>
                <w:szCs w:val="21"/>
                <w:u w:val="none"/>
              </w:rPr>
            </w:pPr>
          </w:p>
        </w:tc>
      </w:tr>
      <w:tr w14:paraId="4FE7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5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7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6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1.名称:落地式配电箱 AL30~AL39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2.型号:成套型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3.规格:含箱内元器件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F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EC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9DB6">
            <w:pPr>
              <w:jc w:val="center"/>
              <w:rPr>
                <w:rFonts w:hint="eastAsia" w:ascii="宋体" w:hAnsi="宋体" w:eastAsia="宋体" w:cs="宋体"/>
                <w:b/>
                <w:bCs/>
                <w:i w:val="0"/>
                <w:iCs w:val="0"/>
                <w:color w:val="000000"/>
                <w:sz w:val="21"/>
                <w:szCs w:val="21"/>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D8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5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939E">
            <w:pPr>
              <w:jc w:val="center"/>
              <w:rPr>
                <w:rFonts w:hint="eastAsia" w:ascii="宋体" w:hAnsi="宋体" w:eastAsia="宋体" w:cs="宋体"/>
                <w:i w:val="0"/>
                <w:iCs w:val="0"/>
                <w:color w:val="000000"/>
                <w:sz w:val="21"/>
                <w:szCs w:val="21"/>
                <w:u w:val="none"/>
              </w:rPr>
            </w:pPr>
          </w:p>
        </w:tc>
      </w:tr>
      <w:tr w14:paraId="65A1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9B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不含税合计：</w:t>
            </w:r>
          </w:p>
        </w:tc>
        <w:tc>
          <w:tcPr>
            <w:tcW w:w="49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BB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6A66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34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税额：</w:t>
            </w:r>
          </w:p>
        </w:tc>
        <w:tc>
          <w:tcPr>
            <w:tcW w:w="49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71F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4C6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50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07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含税总价：</w:t>
            </w:r>
          </w:p>
        </w:tc>
        <w:tc>
          <w:tcPr>
            <w:tcW w:w="49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189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286D778B">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13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9"/>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51EB5042">
      <w:pPr>
        <w:pStyle w:val="9"/>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9"/>
        <w:wordWrap/>
        <w:rPr>
          <w:rFonts w:hint="default" w:ascii="宋体" w:eastAsia="宋体"/>
          <w:sz w:val="28"/>
          <w:szCs w:val="28"/>
          <w:highlight w:val="none"/>
          <w:lang w:val="en-US" w:eastAsia="zh-CN"/>
        </w:rPr>
      </w:pPr>
      <w:bookmarkStart w:id="0" w:name="_Toc232560286"/>
      <w:bookmarkStart w:id="1" w:name="_Toc320526754"/>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9"/>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9"/>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9"/>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9"/>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9"/>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9"/>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9"/>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9"/>
        <w:wordWrap/>
        <w:rPr>
          <w:rFonts w:hint="default" w:eastAsia="宋体"/>
          <w:highlight w:val="none"/>
          <w:lang w:val="en-US" w:eastAsia="zh-CN"/>
        </w:rPr>
      </w:pPr>
    </w:p>
    <w:p w14:paraId="56813912">
      <w:pPr>
        <w:pStyle w:val="9"/>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7"/>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4D0AB"/>
    <w:multiLevelType w:val="singleLevel"/>
    <w:tmpl w:val="48E4D0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1EA0118"/>
    <w:rsid w:val="020B0C13"/>
    <w:rsid w:val="027A29D9"/>
    <w:rsid w:val="02B7130D"/>
    <w:rsid w:val="04012F47"/>
    <w:rsid w:val="041079BC"/>
    <w:rsid w:val="0486237A"/>
    <w:rsid w:val="05432019"/>
    <w:rsid w:val="054615E8"/>
    <w:rsid w:val="05C54F49"/>
    <w:rsid w:val="06145B3F"/>
    <w:rsid w:val="068D1858"/>
    <w:rsid w:val="06A8381B"/>
    <w:rsid w:val="06C92082"/>
    <w:rsid w:val="070071F1"/>
    <w:rsid w:val="07424563"/>
    <w:rsid w:val="08415B3A"/>
    <w:rsid w:val="08C2275E"/>
    <w:rsid w:val="09C13E54"/>
    <w:rsid w:val="0A11041C"/>
    <w:rsid w:val="0A14667A"/>
    <w:rsid w:val="0A841306"/>
    <w:rsid w:val="0AF838A6"/>
    <w:rsid w:val="0BCB249B"/>
    <w:rsid w:val="0D7E12D2"/>
    <w:rsid w:val="0DB37F58"/>
    <w:rsid w:val="0ED80288"/>
    <w:rsid w:val="0F0A3BA7"/>
    <w:rsid w:val="0F31382A"/>
    <w:rsid w:val="10A96F5C"/>
    <w:rsid w:val="115C1352"/>
    <w:rsid w:val="11703C8D"/>
    <w:rsid w:val="118851D7"/>
    <w:rsid w:val="12127E92"/>
    <w:rsid w:val="12224808"/>
    <w:rsid w:val="125F245C"/>
    <w:rsid w:val="126A1B62"/>
    <w:rsid w:val="12935EF8"/>
    <w:rsid w:val="12C5035E"/>
    <w:rsid w:val="13022072"/>
    <w:rsid w:val="13433B2C"/>
    <w:rsid w:val="134D74D4"/>
    <w:rsid w:val="13577B03"/>
    <w:rsid w:val="13BB6555"/>
    <w:rsid w:val="143811B7"/>
    <w:rsid w:val="1460705A"/>
    <w:rsid w:val="14D7452C"/>
    <w:rsid w:val="150A2B53"/>
    <w:rsid w:val="153674A4"/>
    <w:rsid w:val="1542409B"/>
    <w:rsid w:val="164F07B4"/>
    <w:rsid w:val="16763EEB"/>
    <w:rsid w:val="16C44F84"/>
    <w:rsid w:val="16C511EE"/>
    <w:rsid w:val="1752258F"/>
    <w:rsid w:val="1776627E"/>
    <w:rsid w:val="17C46E1E"/>
    <w:rsid w:val="18C26381"/>
    <w:rsid w:val="18CE5C46"/>
    <w:rsid w:val="18FE73D9"/>
    <w:rsid w:val="192368F0"/>
    <w:rsid w:val="195C4898"/>
    <w:rsid w:val="199550A2"/>
    <w:rsid w:val="19A66F80"/>
    <w:rsid w:val="1A244601"/>
    <w:rsid w:val="1A611DC3"/>
    <w:rsid w:val="1AAC1FB7"/>
    <w:rsid w:val="1AC76DF0"/>
    <w:rsid w:val="1AD70EF3"/>
    <w:rsid w:val="1AFE1495"/>
    <w:rsid w:val="1BCA21A9"/>
    <w:rsid w:val="1C2344FA"/>
    <w:rsid w:val="1C65794D"/>
    <w:rsid w:val="1CEA33B6"/>
    <w:rsid w:val="1D0912D6"/>
    <w:rsid w:val="1D7B013C"/>
    <w:rsid w:val="1D8D60CF"/>
    <w:rsid w:val="1E312EFF"/>
    <w:rsid w:val="1E611520"/>
    <w:rsid w:val="1E637446"/>
    <w:rsid w:val="1F121C01"/>
    <w:rsid w:val="208C24BE"/>
    <w:rsid w:val="209C5CAC"/>
    <w:rsid w:val="21305431"/>
    <w:rsid w:val="214243D1"/>
    <w:rsid w:val="215D2424"/>
    <w:rsid w:val="22D16A5E"/>
    <w:rsid w:val="22ED65AF"/>
    <w:rsid w:val="24601632"/>
    <w:rsid w:val="252D490D"/>
    <w:rsid w:val="25E401DE"/>
    <w:rsid w:val="2624159B"/>
    <w:rsid w:val="272C7093"/>
    <w:rsid w:val="2778788E"/>
    <w:rsid w:val="279E2CB0"/>
    <w:rsid w:val="27A44862"/>
    <w:rsid w:val="27B150B0"/>
    <w:rsid w:val="27B83212"/>
    <w:rsid w:val="27E17743"/>
    <w:rsid w:val="28616AD6"/>
    <w:rsid w:val="288822B5"/>
    <w:rsid w:val="28C80E84"/>
    <w:rsid w:val="28CD1A76"/>
    <w:rsid w:val="2921115D"/>
    <w:rsid w:val="29CD0A23"/>
    <w:rsid w:val="2A4B17EC"/>
    <w:rsid w:val="2A6C10D3"/>
    <w:rsid w:val="2A75337D"/>
    <w:rsid w:val="2AC71C58"/>
    <w:rsid w:val="2ADC0696"/>
    <w:rsid w:val="2AE67C58"/>
    <w:rsid w:val="2B053749"/>
    <w:rsid w:val="2B270E1A"/>
    <w:rsid w:val="2BD33847"/>
    <w:rsid w:val="2BDF043E"/>
    <w:rsid w:val="2BFD6B9A"/>
    <w:rsid w:val="2C1D2D14"/>
    <w:rsid w:val="2C713EDA"/>
    <w:rsid w:val="2CEF1BF0"/>
    <w:rsid w:val="2EC244AD"/>
    <w:rsid w:val="2EEE691B"/>
    <w:rsid w:val="2F087DEA"/>
    <w:rsid w:val="2F176141"/>
    <w:rsid w:val="2F1B6123"/>
    <w:rsid w:val="2F5468B2"/>
    <w:rsid w:val="2F601896"/>
    <w:rsid w:val="2FE1152C"/>
    <w:rsid w:val="30784343"/>
    <w:rsid w:val="30AF25B9"/>
    <w:rsid w:val="30E16E50"/>
    <w:rsid w:val="30FD07FF"/>
    <w:rsid w:val="310D2CA0"/>
    <w:rsid w:val="315076E8"/>
    <w:rsid w:val="31994BEB"/>
    <w:rsid w:val="31FB713A"/>
    <w:rsid w:val="32BC3F0F"/>
    <w:rsid w:val="335334BF"/>
    <w:rsid w:val="33C63C91"/>
    <w:rsid w:val="34264510"/>
    <w:rsid w:val="343D2044"/>
    <w:rsid w:val="34A674FA"/>
    <w:rsid w:val="34D84EB8"/>
    <w:rsid w:val="34E70363"/>
    <w:rsid w:val="355F6DC2"/>
    <w:rsid w:val="35627025"/>
    <w:rsid w:val="36260A17"/>
    <w:rsid w:val="363C2E02"/>
    <w:rsid w:val="366605C3"/>
    <w:rsid w:val="36840F46"/>
    <w:rsid w:val="36DF2F8F"/>
    <w:rsid w:val="36E42DAC"/>
    <w:rsid w:val="36EB413B"/>
    <w:rsid w:val="372E506B"/>
    <w:rsid w:val="37863463"/>
    <w:rsid w:val="378A52ED"/>
    <w:rsid w:val="380B6742"/>
    <w:rsid w:val="38B16CBE"/>
    <w:rsid w:val="38BC3B0C"/>
    <w:rsid w:val="39324448"/>
    <w:rsid w:val="39B80C59"/>
    <w:rsid w:val="3AF92B43"/>
    <w:rsid w:val="3B3E76EC"/>
    <w:rsid w:val="3C2B3CDF"/>
    <w:rsid w:val="3C6E38B1"/>
    <w:rsid w:val="3D6677F7"/>
    <w:rsid w:val="3E5E1696"/>
    <w:rsid w:val="3E9C21BE"/>
    <w:rsid w:val="3EA234E4"/>
    <w:rsid w:val="3EEA117C"/>
    <w:rsid w:val="3EF23B8C"/>
    <w:rsid w:val="3F0062A9"/>
    <w:rsid w:val="40F95775"/>
    <w:rsid w:val="41B315ED"/>
    <w:rsid w:val="41C112BA"/>
    <w:rsid w:val="41EA1493"/>
    <w:rsid w:val="429F1DDC"/>
    <w:rsid w:val="42F425C9"/>
    <w:rsid w:val="43171611"/>
    <w:rsid w:val="434B470C"/>
    <w:rsid w:val="43721885"/>
    <w:rsid w:val="43B24761"/>
    <w:rsid w:val="43C732A5"/>
    <w:rsid w:val="43EC612D"/>
    <w:rsid w:val="44093E52"/>
    <w:rsid w:val="44FC39B7"/>
    <w:rsid w:val="459E4A6E"/>
    <w:rsid w:val="45A37133"/>
    <w:rsid w:val="46644C5B"/>
    <w:rsid w:val="46806E7C"/>
    <w:rsid w:val="46CB4EBE"/>
    <w:rsid w:val="46E12E64"/>
    <w:rsid w:val="475F1FE2"/>
    <w:rsid w:val="47AC5915"/>
    <w:rsid w:val="47ED5839"/>
    <w:rsid w:val="487F0402"/>
    <w:rsid w:val="4916425B"/>
    <w:rsid w:val="4A0F3288"/>
    <w:rsid w:val="4A1B260F"/>
    <w:rsid w:val="4AAC19DB"/>
    <w:rsid w:val="4B050CA9"/>
    <w:rsid w:val="4B1151AE"/>
    <w:rsid w:val="4BB95D89"/>
    <w:rsid w:val="4BD43314"/>
    <w:rsid w:val="4BD47574"/>
    <w:rsid w:val="4C115C38"/>
    <w:rsid w:val="4C794DB7"/>
    <w:rsid w:val="4C8F16E9"/>
    <w:rsid w:val="4CCC3C6F"/>
    <w:rsid w:val="4D294F66"/>
    <w:rsid w:val="4DB12E65"/>
    <w:rsid w:val="4E051A17"/>
    <w:rsid w:val="4E2D6A1C"/>
    <w:rsid w:val="4F857AAA"/>
    <w:rsid w:val="50047BC4"/>
    <w:rsid w:val="507765E7"/>
    <w:rsid w:val="512A38EA"/>
    <w:rsid w:val="51493AE0"/>
    <w:rsid w:val="52071923"/>
    <w:rsid w:val="524312E3"/>
    <w:rsid w:val="526D1A50"/>
    <w:rsid w:val="52A31916"/>
    <w:rsid w:val="52F77BDF"/>
    <w:rsid w:val="53C27B7A"/>
    <w:rsid w:val="56020701"/>
    <w:rsid w:val="56210428"/>
    <w:rsid w:val="566B274A"/>
    <w:rsid w:val="56815ACA"/>
    <w:rsid w:val="568B06F7"/>
    <w:rsid w:val="57007661"/>
    <w:rsid w:val="572B3C88"/>
    <w:rsid w:val="57723665"/>
    <w:rsid w:val="57947A7F"/>
    <w:rsid w:val="583F78EB"/>
    <w:rsid w:val="59783CF8"/>
    <w:rsid w:val="597F52C7"/>
    <w:rsid w:val="599C0E6D"/>
    <w:rsid w:val="59F12F67"/>
    <w:rsid w:val="5A53777D"/>
    <w:rsid w:val="5AB1123A"/>
    <w:rsid w:val="5B5E5A33"/>
    <w:rsid w:val="5BEF1728"/>
    <w:rsid w:val="5C8067EE"/>
    <w:rsid w:val="5C8A1AA0"/>
    <w:rsid w:val="5CDB0AFD"/>
    <w:rsid w:val="5D0E6871"/>
    <w:rsid w:val="5D7756E9"/>
    <w:rsid w:val="5DED6425"/>
    <w:rsid w:val="5E176D14"/>
    <w:rsid w:val="5EBB1D95"/>
    <w:rsid w:val="5ECE1AC8"/>
    <w:rsid w:val="5F1E5222"/>
    <w:rsid w:val="5FD671C5"/>
    <w:rsid w:val="60FB46CB"/>
    <w:rsid w:val="6162299C"/>
    <w:rsid w:val="62066887"/>
    <w:rsid w:val="624B6CF8"/>
    <w:rsid w:val="62B735F4"/>
    <w:rsid w:val="62BB2364"/>
    <w:rsid w:val="62DC331B"/>
    <w:rsid w:val="62FA347B"/>
    <w:rsid w:val="63681B8E"/>
    <w:rsid w:val="63901056"/>
    <w:rsid w:val="643C5726"/>
    <w:rsid w:val="65905D2A"/>
    <w:rsid w:val="65E924E0"/>
    <w:rsid w:val="66442670"/>
    <w:rsid w:val="665E3732"/>
    <w:rsid w:val="66E71979"/>
    <w:rsid w:val="6790029F"/>
    <w:rsid w:val="67A21D44"/>
    <w:rsid w:val="67E20393"/>
    <w:rsid w:val="68A06B60"/>
    <w:rsid w:val="69700A91"/>
    <w:rsid w:val="69703A29"/>
    <w:rsid w:val="69743D47"/>
    <w:rsid w:val="69B61AD7"/>
    <w:rsid w:val="69DC0F45"/>
    <w:rsid w:val="6A4929FC"/>
    <w:rsid w:val="6AA61B4B"/>
    <w:rsid w:val="6BB362CE"/>
    <w:rsid w:val="6BD44496"/>
    <w:rsid w:val="6C07661A"/>
    <w:rsid w:val="6CCC389A"/>
    <w:rsid w:val="6D9D0818"/>
    <w:rsid w:val="6DC9627D"/>
    <w:rsid w:val="6E6274D0"/>
    <w:rsid w:val="6EBD6ADF"/>
    <w:rsid w:val="6F6073B6"/>
    <w:rsid w:val="6FB26A0A"/>
    <w:rsid w:val="6FFE5F86"/>
    <w:rsid w:val="7026074C"/>
    <w:rsid w:val="70D171F6"/>
    <w:rsid w:val="711B0E43"/>
    <w:rsid w:val="71520337"/>
    <w:rsid w:val="716B31A7"/>
    <w:rsid w:val="71836742"/>
    <w:rsid w:val="71946BA2"/>
    <w:rsid w:val="71CB1E97"/>
    <w:rsid w:val="71CF1988"/>
    <w:rsid w:val="71D21478"/>
    <w:rsid w:val="71D501CA"/>
    <w:rsid w:val="71F20C91"/>
    <w:rsid w:val="725E2D0C"/>
    <w:rsid w:val="72EC0317"/>
    <w:rsid w:val="73066C52"/>
    <w:rsid w:val="7366631C"/>
    <w:rsid w:val="73680487"/>
    <w:rsid w:val="73E55D16"/>
    <w:rsid w:val="741D2628"/>
    <w:rsid w:val="74AE7F7A"/>
    <w:rsid w:val="74C73FFF"/>
    <w:rsid w:val="74EC3B48"/>
    <w:rsid w:val="74F02341"/>
    <w:rsid w:val="75DA6B4D"/>
    <w:rsid w:val="75EE3E12"/>
    <w:rsid w:val="76200A04"/>
    <w:rsid w:val="766F4367"/>
    <w:rsid w:val="77437D69"/>
    <w:rsid w:val="7772528F"/>
    <w:rsid w:val="78197E01"/>
    <w:rsid w:val="79212F4D"/>
    <w:rsid w:val="797B41A3"/>
    <w:rsid w:val="7A3628C3"/>
    <w:rsid w:val="7A3B7B4D"/>
    <w:rsid w:val="7A6A2142"/>
    <w:rsid w:val="7A797B7C"/>
    <w:rsid w:val="7AC758F2"/>
    <w:rsid w:val="7B065E22"/>
    <w:rsid w:val="7B4926EC"/>
    <w:rsid w:val="7B515B18"/>
    <w:rsid w:val="7B542134"/>
    <w:rsid w:val="7C860E47"/>
    <w:rsid w:val="7CA814AE"/>
    <w:rsid w:val="7D034BDB"/>
    <w:rsid w:val="7D8464B4"/>
    <w:rsid w:val="7DFF3B4A"/>
    <w:rsid w:val="7F0C5FC9"/>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unhideWhenUsed/>
    <w:qFormat/>
    <w:uiPriority w:val="99"/>
    <w:pPr>
      <w:jc w:val="left"/>
    </w:pPr>
  </w:style>
  <w:style w:type="paragraph" w:styleId="7">
    <w:name w:val="Body Text"/>
    <w:basedOn w:val="1"/>
    <w:unhideWhenUsed/>
    <w:qFormat/>
    <w:uiPriority w:val="99"/>
    <w:rPr>
      <w:b/>
      <w:sz w:val="28"/>
      <w:szCs w:val="20"/>
    </w:rPr>
  </w:style>
  <w:style w:type="paragraph" w:styleId="8">
    <w:name w:val="Body Text Indent"/>
    <w:basedOn w:val="1"/>
    <w:qFormat/>
    <w:uiPriority w:val="0"/>
    <w:pPr>
      <w:spacing w:line="480" w:lineRule="exact"/>
      <w:ind w:left="720" w:hanging="720" w:hangingChars="300"/>
    </w:pPr>
    <w:rPr>
      <w:sz w:val="24"/>
    </w:rPr>
  </w:style>
  <w:style w:type="paragraph" w:styleId="9">
    <w:name w:val="Plain Text"/>
    <w:basedOn w:val="1"/>
    <w:unhideWhenUsed/>
    <w:qFormat/>
    <w:uiPriority w:val="99"/>
    <w:rPr>
      <w:rFonts w:ascii="宋体" w:hAnsi="Courier New"/>
      <w:szCs w:val="20"/>
    </w:rPr>
  </w:style>
  <w:style w:type="paragraph" w:styleId="10">
    <w:name w:val="Balloon Text"/>
    <w:basedOn w:val="1"/>
    <w:link w:val="32"/>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contextualSpacing/>
    </w:pPr>
  </w:style>
  <w:style w:type="paragraph" w:styleId="14">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3"/>
    <w:next w:val="1"/>
    <w:link w:val="25"/>
    <w:qFormat/>
    <w:uiPriority w:val="0"/>
    <w:pPr>
      <w:spacing w:before="240" w:after="60" w:line="360" w:lineRule="auto"/>
      <w:jc w:val="center"/>
    </w:pPr>
    <w:rPr>
      <w:rFonts w:ascii="Cambria" w:hAnsi="Cambria" w:eastAsia="仿宋_GB2312"/>
      <w:bCs w:val="0"/>
      <w:szCs w:val="32"/>
    </w:rPr>
  </w:style>
  <w:style w:type="paragraph" w:styleId="17">
    <w:name w:val="Body Text First Indent"/>
    <w:basedOn w:val="1"/>
    <w:unhideWhenUsed/>
    <w:qFormat/>
    <w:uiPriority w:val="99"/>
    <w:pPr>
      <w:ind w:firstLine="420" w:firstLineChars="100"/>
    </w:pPr>
    <w:rPr>
      <w:rFonts w:ascii="Times New Roman" w:hAnsi="Times New Roman"/>
    </w:rPr>
  </w:style>
  <w:style w:type="paragraph" w:styleId="18">
    <w:name w:val="Body Text First Indent 2"/>
    <w:basedOn w:val="8"/>
    <w:qFormat/>
    <w:uiPriority w:val="0"/>
    <w:pPr>
      <w:spacing w:after="120" w:line="240" w:lineRule="auto"/>
      <w:ind w:left="420" w:leftChars="200" w:firstLine="420" w:firstLineChars="200"/>
    </w:pPr>
    <w:rPr>
      <w:kern w:val="0"/>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basedOn w:val="21"/>
    <w:unhideWhenUsed/>
    <w:qFormat/>
    <w:uiPriority w:val="99"/>
  </w:style>
  <w:style w:type="character" w:styleId="24">
    <w:name w:val="annotation reference"/>
    <w:basedOn w:val="21"/>
    <w:unhideWhenUsed/>
    <w:qFormat/>
    <w:uiPriority w:val="99"/>
    <w:rPr>
      <w:sz w:val="21"/>
      <w:szCs w:val="21"/>
    </w:rPr>
  </w:style>
  <w:style w:type="character" w:customStyle="1" w:styleId="25">
    <w:name w:val="标题 字符"/>
    <w:basedOn w:val="21"/>
    <w:link w:val="16"/>
    <w:qFormat/>
    <w:uiPriority w:val="0"/>
    <w:rPr>
      <w:rFonts w:ascii="Cambria" w:hAnsi="Cambria" w:eastAsia="仿宋_GB2312" w:cs="Times New Roman"/>
      <w:b/>
      <w:kern w:val="44"/>
      <w:sz w:val="44"/>
      <w:szCs w:val="32"/>
    </w:rPr>
  </w:style>
  <w:style w:type="character" w:customStyle="1" w:styleId="26">
    <w:name w:val="HTML 预设格式 字符"/>
    <w:basedOn w:val="21"/>
    <w:link w:val="14"/>
    <w:qFormat/>
    <w:uiPriority w:val="0"/>
    <w:rPr>
      <w:rFonts w:ascii="宋体" w:hAnsi="宋体" w:eastAsia="宋体" w:cs="宋体"/>
      <w:kern w:val="0"/>
      <w:sz w:val="24"/>
      <w:szCs w:val="24"/>
    </w:rPr>
  </w:style>
  <w:style w:type="character" w:customStyle="1" w:styleId="27">
    <w:name w:val="标题 1 字符"/>
    <w:basedOn w:val="21"/>
    <w:link w:val="3"/>
    <w:qFormat/>
    <w:uiPriority w:val="9"/>
    <w:rPr>
      <w:rFonts w:ascii="Times New Roman" w:hAnsi="Times New Roman" w:eastAsia="宋体" w:cs="Times New Roman"/>
      <w:b/>
      <w:bCs/>
      <w:kern w:val="44"/>
      <w:sz w:val="44"/>
      <w:szCs w:val="44"/>
    </w:rPr>
  </w:style>
  <w:style w:type="character" w:customStyle="1" w:styleId="28">
    <w:name w:val="页眉 字符"/>
    <w:basedOn w:val="21"/>
    <w:link w:val="12"/>
    <w:semiHidden/>
    <w:qFormat/>
    <w:uiPriority w:val="99"/>
    <w:rPr>
      <w:rFonts w:ascii="Times New Roman" w:hAnsi="Times New Roman" w:eastAsia="宋体" w:cs="Times New Roman"/>
      <w:sz w:val="18"/>
      <w:szCs w:val="18"/>
    </w:rPr>
  </w:style>
  <w:style w:type="character" w:customStyle="1" w:styleId="29">
    <w:name w:val="页脚 字符"/>
    <w:basedOn w:val="21"/>
    <w:link w:val="11"/>
    <w:qFormat/>
    <w:uiPriority w:val="99"/>
    <w:rPr>
      <w:rFonts w:ascii="Times New Roman" w:hAnsi="Times New Roman" w:eastAsia="宋体" w:cs="Times New Roman"/>
      <w:sz w:val="18"/>
      <w:szCs w:val="18"/>
    </w:rPr>
  </w:style>
  <w:style w:type="paragraph" w:customStyle="1" w:styleId="30">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1">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2">
    <w:name w:val="批注框文本 字符"/>
    <w:basedOn w:val="21"/>
    <w:link w:val="10"/>
    <w:semiHidden/>
    <w:qFormat/>
    <w:uiPriority w:val="99"/>
    <w:rPr>
      <w:kern w:val="2"/>
      <w:sz w:val="18"/>
      <w:szCs w:val="18"/>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List Paragraph"/>
    <w:basedOn w:val="1"/>
    <w:qFormat/>
    <w:uiPriority w:val="99"/>
    <w:pPr>
      <w:ind w:firstLine="420" w:firstLineChars="200"/>
    </w:pPr>
  </w:style>
  <w:style w:type="table" w:customStyle="1" w:styleId="35">
    <w:name w:val="网格型1"/>
    <w:basedOn w:val="1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nt61"/>
    <w:qFormat/>
    <w:uiPriority w:val="0"/>
    <w:rPr>
      <w:rFonts w:hint="eastAsia" w:ascii="宋体" w:hAnsi="宋体" w:eastAsia="宋体" w:cs="宋体"/>
      <w:b/>
      <w:color w:val="000000"/>
      <w:sz w:val="20"/>
      <w:szCs w:val="20"/>
      <w:u w:val="none"/>
    </w:rPr>
  </w:style>
  <w:style w:type="paragraph" w:customStyle="1" w:styleId="37">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8">
    <w:name w:val="font01"/>
    <w:basedOn w:val="21"/>
    <w:qFormat/>
    <w:uiPriority w:val="0"/>
    <w:rPr>
      <w:rFonts w:hint="eastAsia" w:ascii="宋体" w:hAnsi="宋体" w:eastAsia="宋体" w:cs="宋体"/>
      <w:color w:val="000000"/>
      <w:sz w:val="22"/>
      <w:szCs w:val="22"/>
      <w:u w:val="none"/>
    </w:rPr>
  </w:style>
  <w:style w:type="paragraph" w:customStyle="1" w:styleId="39">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2791</Words>
  <Characters>3068</Characters>
  <Lines>19</Lines>
  <Paragraphs>5</Paragraphs>
  <TotalTime>1</TotalTime>
  <ScaleCrop>false</ScaleCrop>
  <LinksUpToDate>false</LinksUpToDate>
  <CharactersWithSpaces>3192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洛洛的理想乡</cp:lastModifiedBy>
  <cp:lastPrinted>2024-01-12T01:23:00Z</cp:lastPrinted>
  <dcterms:modified xsi:type="dcterms:W3CDTF">2025-12-08T09:31:50Z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6B86E1E12A8A41B3A9BD51EFE6616C37</vt:lpwstr>
  </property>
  <property fmtid="{D5CDD505-2E9C-101B-9397-08002B2CF9AE}" pid="4" name="KSOTemplateDocerSaveRecord">
    <vt:lpwstr>eyJoZGlkIjoiODExODNjYTYyZTk0NDk5ZTY1NTE1OWQxM2JiMDk4ZjYiLCJ1c2VySWQiOiIxMTY3MTU3NTQ3In0=</vt:lpwstr>
  </property>
</Properties>
</file>